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t xml:space="preserve">TOWN OF CANAAN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28"/>
          <w:szCs w:val="28"/>
        </w:rPr>
      </w:pPr>
      <w:hyperlink r:id="rId7">
        <w:r w:rsidDel="00000000" w:rsidR="00000000" w:rsidRPr="00000000">
          <w:rPr>
            <w:b w:val="1"/>
            <w:bCs w:val="1"/>
            <w:sz w:val="28"/>
            <w:szCs w:val="28"/>
            <w:rtl w:val="0"/>
          </w:rPr>
          <w:t xml:space="preserve">Affordable Housing Plan Task Team</w:t>
        </w:r>
      </w:hyperlink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t xml:space="preserve">, Special Meeting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Wednesday, March 25, 2026 @ 6:30PM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Town Hall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sz w:val="28"/>
          <w:szCs w:val="28"/>
          <w:rtl w:val="0"/>
        </w:rPr>
        <w:t xml:space="preserve">108 Main St., Falls Village, CT 06031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28"/>
          <w:szCs w:val="28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rtl w:val="0"/>
        </w:rPr>
        <w:t xml:space="preserve">IN PERSON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ahoma" w:cs="Tahoma" w:eastAsia="Tahoma" w:hAnsi="Tahoma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8"/>
          <w:szCs w:val="28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9">
      <w:pPr>
        <w:spacing w:line="276" w:lineRule="auto"/>
        <w:jc w:val="center"/>
        <w:rPr>
          <w:rFonts w:ascii="Tahoma" w:cs="Tahoma" w:eastAsia="Tahoma" w:hAnsi="Tahoma"/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276" w:lineRule="auto"/>
        <w:ind w:left="720" w:hanging="360"/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u w:val="single"/>
          <w:rtl w:val="0"/>
        </w:rPr>
        <w:t xml:space="preserve">Call to Order</w:t>
      </w:r>
    </w:p>
    <w:p w:rsidR="00000000" w:rsidDel="00000000" w:rsidP="00000000" w:rsidRDefault="00000000" w:rsidRPr="00000000" w14:paraId="0000000B">
      <w:pPr>
        <w:spacing w:line="276" w:lineRule="auto"/>
        <w:rPr>
          <w:rFonts w:ascii="Tahoma" w:cs="Tahoma" w:eastAsia="Tahoma" w:hAnsi="Tahoma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2.</w:t>
        <w:tab/>
        <w:t xml:space="preserve">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Tahoma" w:cs="Tahoma" w:eastAsia="Tahoma" w:hAnsi="Tahoma"/>
          <w:i w:val="1"/>
          <w:i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3.  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Goals and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ahoma" w:cs="Tahoma" w:eastAsia="Tahoma" w:hAnsi="Tahoma"/>
          <w:b w:val="1"/>
          <w:bCs w:val="1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Fonts w:ascii="Tahoma" w:cs="Tahoma" w:eastAsia="Tahoma" w:hAnsi="Tahoma"/>
          <w:i w:val="1"/>
          <w:iCs w:val="1"/>
          <w:sz w:val="24"/>
          <w:szCs w:val="24"/>
          <w:rtl w:val="0"/>
        </w:rPr>
        <w:t xml:space="preserve">a.  Discussion and possible action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rFonts w:ascii="Tahoma" w:cs="Tahoma" w:eastAsia="Tahoma" w:hAnsi="Tahom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>
          <w:rFonts w:ascii="Tahoma" w:cs="Tahoma" w:eastAsia="Tahoma" w:hAnsi="Tahoma"/>
          <w:sz w:val="24"/>
          <w:szCs w:val="24"/>
        </w:rPr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4.   </w:t>
      </w: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Affordable Housing Inventory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76" w:lineRule="auto"/>
        <w:ind w:left="1440" w:hanging="360"/>
        <w:rPr>
          <w:rFonts w:ascii="Tahoma" w:cs="Tahoma" w:eastAsia="Tahoma" w:hAnsi="Tahoma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Tahoma" w:cs="Tahoma" w:eastAsia="Tahoma" w:hAnsi="Tahoma"/>
          <w:i w:val="1"/>
          <w:iCs w:val="1"/>
          <w:sz w:val="24"/>
          <w:szCs w:val="24"/>
          <w:rtl w:val="0"/>
        </w:rPr>
        <w:t xml:space="preserve">Tracking of available inventory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Tahoma" w:cs="Tahoma" w:eastAsia="Tahoma" w:hAnsi="Tahoma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/>
      </w:pPr>
      <w:r w:rsidDel="00000000" w:rsidR="00000000" w:rsidRPr="00000000">
        <w:rPr>
          <w:rFonts w:ascii="Tahoma" w:cs="Tahoma" w:eastAsia="Tahoma" w:hAnsi="Tahoma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ahoma" w:cs="Tahoma" w:eastAsia="Tahoma" w:hAnsi="Tahoma"/>
          <w:b w:val="1"/>
          <w:bCs w:val="1"/>
          <w:sz w:val="24"/>
          <w:szCs w:val="24"/>
          <w:rtl w:val="0"/>
        </w:rPr>
        <w:t xml:space="preserve">5.   </w:t>
      </w:r>
      <w:r w:rsidDel="00000000" w:rsidR="00000000" w:rsidRPr="00000000">
        <w:rPr>
          <w:rFonts w:ascii="Tahoma" w:cs="Tahoma" w:eastAsia="Tahoma" w:hAnsi="Tahoma"/>
          <w:sz w:val="24"/>
          <w:szCs w:val="24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uni.civiclift.com/admin/entities/293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8lYQQq9yg/STlUHMLGfGWrJuBA==">CgMxLjA4AHIhMXJCQ3JRSWFMNjNLTFdCR084Yl9YTHZ1eGl4OE5TUFBI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